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3F" w:rsidRDefault="0083173F" w:rsidP="0083173F">
      <w:pPr>
        <w:spacing w:after="0" w:line="240" w:lineRule="auto"/>
        <w:contextualSpacing/>
        <w:jc w:val="center"/>
        <w:rPr>
          <w:rFonts w:ascii="Times New Roman" w:hAnsi="Times New Roman" w:cs="Times New Roman"/>
          <w:b/>
          <w:color w:val="FF0000"/>
          <w:sz w:val="40"/>
          <w:szCs w:val="40"/>
        </w:rPr>
      </w:pPr>
      <w:r w:rsidRPr="009E2F29">
        <w:rPr>
          <w:rFonts w:ascii="Times New Roman" w:hAnsi="Times New Roman" w:cs="Times New Roman"/>
          <w:b/>
          <w:color w:val="FF0000"/>
          <w:sz w:val="40"/>
          <w:szCs w:val="40"/>
        </w:rPr>
        <w:t xml:space="preserve">Service-Learning (SL) </w:t>
      </w:r>
      <w:r>
        <w:rPr>
          <w:rFonts w:ascii="Times New Roman" w:hAnsi="Times New Roman" w:cs="Times New Roman"/>
          <w:b/>
          <w:color w:val="FF0000"/>
          <w:sz w:val="40"/>
          <w:szCs w:val="40"/>
        </w:rPr>
        <w:t xml:space="preserve">&amp; Philanthropy Education </w:t>
      </w:r>
    </w:p>
    <w:p w:rsidR="0083173F" w:rsidRDefault="0083173F" w:rsidP="0083173F">
      <w:pPr>
        <w:spacing w:after="0" w:line="240" w:lineRule="auto"/>
        <w:contextualSpacing/>
        <w:jc w:val="center"/>
        <w:rPr>
          <w:rFonts w:ascii="Times New Roman" w:hAnsi="Times New Roman" w:cs="Times New Roman"/>
          <w:b/>
          <w:color w:val="FF0000"/>
          <w:sz w:val="40"/>
          <w:szCs w:val="40"/>
        </w:rPr>
      </w:pPr>
      <w:r w:rsidRPr="009E2F29">
        <w:rPr>
          <w:rFonts w:ascii="Times New Roman" w:hAnsi="Times New Roman" w:cs="Times New Roman"/>
          <w:b/>
          <w:color w:val="FF0000"/>
          <w:sz w:val="40"/>
          <w:szCs w:val="40"/>
        </w:rPr>
        <w:t>Academic Connections</w:t>
      </w:r>
    </w:p>
    <w:p w:rsidR="0083173F" w:rsidRPr="009E2F29" w:rsidRDefault="0083173F" w:rsidP="0083173F">
      <w:pPr>
        <w:spacing w:after="0" w:line="240" w:lineRule="auto"/>
        <w:contextualSpacing/>
        <w:jc w:val="center"/>
        <w:rPr>
          <w:rFonts w:ascii="Times New Roman" w:hAnsi="Times New Roman" w:cs="Times New Roman"/>
          <w:b/>
          <w:color w:val="FF0000"/>
          <w:sz w:val="40"/>
          <w:szCs w:val="40"/>
        </w:rPr>
      </w:pPr>
    </w:p>
    <w:p w:rsidR="0083173F" w:rsidRPr="00A447EB" w:rsidRDefault="0083173F" w:rsidP="0083173F">
      <w:pPr>
        <w:pStyle w:val="ListParagraph"/>
        <w:numPr>
          <w:ilvl w:val="0"/>
          <w:numId w:val="1"/>
        </w:numPr>
        <w:rPr>
          <w:rFonts w:ascii="Times New Roman" w:hAnsi="Times New Roman" w:cs="Times New Roman"/>
          <w:sz w:val="24"/>
          <w:szCs w:val="24"/>
        </w:rPr>
      </w:pPr>
      <w:r w:rsidRPr="00C72570">
        <w:rPr>
          <w:rFonts w:ascii="Times New Roman" w:hAnsi="Times New Roman" w:cs="Times New Roman"/>
          <w:sz w:val="32"/>
          <w:szCs w:val="32"/>
        </w:rPr>
        <w:t>Infuse Philanthro</w:t>
      </w:r>
      <w:r w:rsidR="00A447EB">
        <w:rPr>
          <w:rFonts w:ascii="Times New Roman" w:hAnsi="Times New Roman" w:cs="Times New Roman"/>
          <w:sz w:val="32"/>
          <w:szCs w:val="32"/>
        </w:rPr>
        <w:t>py Education (</w:t>
      </w:r>
      <w:hyperlink r:id="rId5" w:history="1">
        <w:r w:rsidR="00A447EB" w:rsidRPr="00A447EB">
          <w:rPr>
            <w:rStyle w:val="Hyperlink"/>
            <w:rFonts w:ascii="Times New Roman" w:hAnsi="Times New Roman" w:cs="Times New Roman"/>
            <w:sz w:val="32"/>
            <w:szCs w:val="32"/>
          </w:rPr>
          <w:t>LTG lessons</w:t>
        </w:r>
      </w:hyperlink>
      <w:r w:rsidR="00A447EB">
        <w:rPr>
          <w:rFonts w:ascii="Times New Roman" w:hAnsi="Times New Roman" w:cs="Times New Roman"/>
          <w:sz w:val="32"/>
          <w:szCs w:val="32"/>
        </w:rPr>
        <w:t xml:space="preserve"> </w:t>
      </w:r>
      <w:r w:rsidRPr="00C72570">
        <w:rPr>
          <w:rFonts w:ascii="Times New Roman" w:hAnsi="Times New Roman" w:cs="Times New Roman"/>
          <w:sz w:val="32"/>
          <w:szCs w:val="32"/>
        </w:rPr>
        <w:t xml:space="preserve">aligned to standards) into </w:t>
      </w:r>
      <w:r w:rsidRPr="00A447EB">
        <w:rPr>
          <w:rFonts w:ascii="Times New Roman" w:hAnsi="Times New Roman" w:cs="Times New Roman"/>
          <w:b/>
          <w:sz w:val="32"/>
          <w:szCs w:val="32"/>
          <w:u w:val="single"/>
        </w:rPr>
        <w:t>ALL K-12 Academic Content Areas</w:t>
      </w:r>
      <w:r w:rsidRPr="00C72570">
        <w:rPr>
          <w:rFonts w:ascii="Times New Roman" w:hAnsi="Times New Roman" w:cs="Times New Roman"/>
          <w:sz w:val="32"/>
          <w:szCs w:val="32"/>
        </w:rPr>
        <w:t xml:space="preserve">.  </w:t>
      </w:r>
      <w:r w:rsidR="00A447EB" w:rsidRPr="00A447EB">
        <w:rPr>
          <w:rFonts w:ascii="Times New Roman" w:hAnsi="Times New Roman" w:cs="Times New Roman"/>
          <w:sz w:val="24"/>
          <w:szCs w:val="24"/>
        </w:rPr>
        <w:t>Effective Service-learning projects should complement the academic instruction and make lessons fun and accessible for even the most disengaged students. To make service-learning even more meaningful, it should be connected to existing content. As a result, learning takes place in a “real-world” setting and is more likely to help students generalize the content and the skills that they develop for use in the long term.</w:t>
      </w:r>
    </w:p>
    <w:p w:rsidR="0083173F" w:rsidRPr="00C72570" w:rsidRDefault="0083173F" w:rsidP="0083173F">
      <w:pPr>
        <w:pStyle w:val="ListParagraph"/>
        <w:numPr>
          <w:ilvl w:val="0"/>
          <w:numId w:val="1"/>
        </w:numPr>
        <w:rPr>
          <w:rFonts w:ascii="Times New Roman" w:hAnsi="Times New Roman" w:cs="Times New Roman"/>
          <w:sz w:val="32"/>
          <w:szCs w:val="32"/>
        </w:rPr>
      </w:pPr>
      <w:r w:rsidRPr="00C72570">
        <w:rPr>
          <w:rFonts w:ascii="Times New Roman" w:hAnsi="Times New Roman" w:cs="Times New Roman"/>
          <w:sz w:val="32"/>
          <w:szCs w:val="32"/>
        </w:rPr>
        <w:t xml:space="preserve">Infuse Philanthropy Education and the Service-Learning process into </w:t>
      </w:r>
      <w:r w:rsidRPr="00A447EB">
        <w:rPr>
          <w:rFonts w:ascii="Times New Roman" w:hAnsi="Times New Roman" w:cs="Times New Roman"/>
          <w:b/>
          <w:sz w:val="32"/>
          <w:szCs w:val="32"/>
          <w:u w:val="single"/>
        </w:rPr>
        <w:t xml:space="preserve">Any Service Project </w:t>
      </w:r>
      <w:r w:rsidRPr="00C72570">
        <w:rPr>
          <w:rFonts w:ascii="Times New Roman" w:hAnsi="Times New Roman" w:cs="Times New Roman"/>
          <w:sz w:val="32"/>
          <w:szCs w:val="32"/>
        </w:rPr>
        <w:t xml:space="preserve">at your school and through familiar </w:t>
      </w:r>
      <w:hyperlink r:id="rId6" w:history="1">
        <w:r w:rsidRPr="00A447EB">
          <w:rPr>
            <w:rStyle w:val="Hyperlink"/>
            <w:rFonts w:ascii="Times New Roman" w:hAnsi="Times New Roman" w:cs="Times New Roman"/>
            <w:sz w:val="32"/>
            <w:szCs w:val="32"/>
          </w:rPr>
          <w:t>calendar events</w:t>
        </w:r>
      </w:hyperlink>
      <w:r w:rsidRPr="00C72570">
        <w:rPr>
          <w:rFonts w:ascii="Times New Roman" w:hAnsi="Times New Roman" w:cs="Times New Roman"/>
          <w:sz w:val="32"/>
          <w:szCs w:val="32"/>
          <w:u w:val="single"/>
        </w:rPr>
        <w:t xml:space="preserve"> </w:t>
      </w:r>
      <w:r w:rsidRPr="00C72570">
        <w:rPr>
          <w:rFonts w:ascii="Times New Roman" w:hAnsi="Times New Roman" w:cs="Times New Roman"/>
          <w:sz w:val="32"/>
          <w:szCs w:val="32"/>
        </w:rPr>
        <w:t xml:space="preserve">throughout the school year.   </w:t>
      </w:r>
    </w:p>
    <w:p w:rsidR="0083173F" w:rsidRPr="00B5210A" w:rsidRDefault="0083173F" w:rsidP="0083173F">
      <w:pPr>
        <w:pStyle w:val="ListParagraph"/>
        <w:numPr>
          <w:ilvl w:val="0"/>
          <w:numId w:val="1"/>
        </w:numPr>
        <w:rPr>
          <w:rFonts w:ascii="Times New Roman" w:hAnsi="Times New Roman" w:cs="Times New Roman"/>
          <w:sz w:val="24"/>
          <w:szCs w:val="24"/>
        </w:rPr>
      </w:pPr>
      <w:r w:rsidRPr="00A447EB">
        <w:rPr>
          <w:rFonts w:ascii="Times New Roman" w:hAnsi="Times New Roman" w:cs="Times New Roman"/>
          <w:b/>
          <w:sz w:val="32"/>
          <w:szCs w:val="32"/>
          <w:u w:val="single"/>
        </w:rPr>
        <w:t>PBL</w:t>
      </w:r>
      <w:r w:rsidRPr="00C72570">
        <w:rPr>
          <w:rFonts w:ascii="Times New Roman" w:hAnsi="Times New Roman" w:cs="Times New Roman"/>
          <w:sz w:val="32"/>
          <w:szCs w:val="32"/>
        </w:rPr>
        <w:t xml:space="preserve"> </w:t>
      </w:r>
      <w:r w:rsidRPr="00A447EB">
        <w:rPr>
          <w:rFonts w:ascii="Times New Roman" w:hAnsi="Times New Roman" w:cs="Times New Roman"/>
          <w:sz w:val="24"/>
          <w:szCs w:val="24"/>
        </w:rPr>
        <w:t xml:space="preserve">- </w:t>
      </w:r>
      <w:r w:rsidRPr="00B5210A">
        <w:rPr>
          <w:rFonts w:ascii="Times New Roman" w:hAnsi="Times New Roman" w:cs="Times New Roman"/>
          <w:sz w:val="24"/>
          <w:szCs w:val="24"/>
        </w:rPr>
        <w:t xml:space="preserve">Students work to solve an identified problem and demonstrate their solution to an audience.  PBL/SL are complementary in their steps. </w:t>
      </w:r>
      <w:r w:rsidR="00A447EB" w:rsidRPr="00B5210A">
        <w:rPr>
          <w:rFonts w:ascii="Times New Roman" w:hAnsi="Times New Roman" w:cs="Times New Roman"/>
          <w:sz w:val="24"/>
          <w:szCs w:val="24"/>
        </w:rPr>
        <w:t xml:space="preserve">Service-learning is PBL with social responsibility. </w:t>
      </w:r>
    </w:p>
    <w:p w:rsidR="0083173F" w:rsidRPr="00B5210A" w:rsidRDefault="0083173F" w:rsidP="0083173F">
      <w:pPr>
        <w:pStyle w:val="ListParagraph"/>
        <w:numPr>
          <w:ilvl w:val="0"/>
          <w:numId w:val="1"/>
        </w:numPr>
        <w:rPr>
          <w:rFonts w:ascii="Times New Roman" w:hAnsi="Times New Roman" w:cs="Times New Roman"/>
          <w:sz w:val="24"/>
          <w:szCs w:val="24"/>
        </w:rPr>
      </w:pPr>
      <w:r w:rsidRPr="00A447EB">
        <w:rPr>
          <w:rFonts w:ascii="Times New Roman" w:hAnsi="Times New Roman" w:cs="Times New Roman"/>
          <w:b/>
          <w:sz w:val="32"/>
          <w:szCs w:val="32"/>
          <w:u w:val="single"/>
        </w:rPr>
        <w:t>STEM</w:t>
      </w:r>
      <w:r w:rsidRPr="00C72570">
        <w:rPr>
          <w:rFonts w:ascii="Times New Roman" w:hAnsi="Times New Roman" w:cs="Times New Roman"/>
          <w:sz w:val="32"/>
          <w:szCs w:val="32"/>
        </w:rPr>
        <w:t xml:space="preserve"> – </w:t>
      </w:r>
      <w:r w:rsidRPr="00B5210A">
        <w:rPr>
          <w:rFonts w:ascii="Times New Roman" w:hAnsi="Times New Roman" w:cs="Times New Roman"/>
          <w:sz w:val="24"/>
          <w:szCs w:val="24"/>
        </w:rPr>
        <w:t>SL provides students opportunities to apply knowledge in practical situations and develop skills from the experience of connecting theory with practice.</w:t>
      </w:r>
      <w:r w:rsidR="00A447EB" w:rsidRPr="00B5210A">
        <w:rPr>
          <w:sz w:val="24"/>
          <w:szCs w:val="24"/>
        </w:rPr>
        <w:t xml:space="preserve"> </w:t>
      </w:r>
      <w:r w:rsidR="00A447EB" w:rsidRPr="00B5210A">
        <w:rPr>
          <w:rFonts w:ascii="Times New Roman" w:hAnsi="Times New Roman" w:cs="Times New Roman"/>
          <w:sz w:val="24"/>
          <w:szCs w:val="24"/>
        </w:rPr>
        <w:t xml:space="preserve">The processes for STEM and service-learning are very similar. </w:t>
      </w:r>
      <w:r w:rsidR="00A447EB" w:rsidRPr="00B5210A">
        <w:rPr>
          <w:rFonts w:ascii="Times New Roman" w:hAnsi="Times New Roman" w:cs="Times New Roman"/>
          <w:sz w:val="24"/>
          <w:szCs w:val="24"/>
        </w:rPr>
        <w:sym w:font="Symbol" w:char="F0B7"/>
      </w:r>
      <w:r w:rsidR="00A447EB" w:rsidRPr="00B5210A">
        <w:rPr>
          <w:rFonts w:ascii="Times New Roman" w:hAnsi="Times New Roman" w:cs="Times New Roman"/>
          <w:sz w:val="24"/>
          <w:szCs w:val="24"/>
        </w:rPr>
        <w:t xml:space="preserve"> STEM curriculum encourages an investigative model, </w:t>
      </w:r>
      <w:r w:rsidR="00A447EB" w:rsidRPr="00B5210A">
        <w:rPr>
          <w:rFonts w:ascii="Times New Roman" w:hAnsi="Times New Roman" w:cs="Times New Roman"/>
          <w:sz w:val="24"/>
          <w:szCs w:val="24"/>
        </w:rPr>
        <w:t xml:space="preserve">the Engineering Design </w:t>
      </w:r>
      <w:proofErr w:type="spellStart"/>
      <w:r w:rsidR="00A447EB" w:rsidRPr="00B5210A">
        <w:rPr>
          <w:rFonts w:ascii="Times New Roman" w:hAnsi="Times New Roman" w:cs="Times New Roman"/>
          <w:sz w:val="24"/>
          <w:szCs w:val="24"/>
        </w:rPr>
        <w:t>Process</w:t>
      </w:r>
      <w:proofErr w:type="gramStart"/>
      <w:r w:rsidR="00A447EB" w:rsidRPr="00B5210A">
        <w:rPr>
          <w:rFonts w:ascii="Times New Roman" w:hAnsi="Times New Roman" w:cs="Times New Roman"/>
          <w:sz w:val="24"/>
          <w:szCs w:val="24"/>
        </w:rPr>
        <w:t>,</w:t>
      </w:r>
      <w:r w:rsidR="00A447EB" w:rsidRPr="00B5210A">
        <w:rPr>
          <w:rFonts w:ascii="Times New Roman" w:hAnsi="Times New Roman" w:cs="Times New Roman"/>
          <w:sz w:val="24"/>
          <w:szCs w:val="24"/>
        </w:rPr>
        <w:t>that</w:t>
      </w:r>
      <w:proofErr w:type="spellEnd"/>
      <w:proofErr w:type="gramEnd"/>
      <w:r w:rsidR="00A447EB" w:rsidRPr="00B5210A">
        <w:rPr>
          <w:rFonts w:ascii="Times New Roman" w:hAnsi="Times New Roman" w:cs="Times New Roman"/>
          <w:sz w:val="24"/>
          <w:szCs w:val="24"/>
        </w:rPr>
        <w:t xml:space="preserve"> is like the IPARDE (Investigate, Prepare, Action, Reflection, Demonstration, and Evaluation) model used to complete a service-learning project. </w:t>
      </w:r>
      <w:r w:rsidR="00A447EB" w:rsidRPr="00B5210A">
        <w:rPr>
          <w:rFonts w:ascii="Times New Roman" w:hAnsi="Times New Roman" w:cs="Times New Roman"/>
          <w:sz w:val="24"/>
          <w:szCs w:val="24"/>
        </w:rPr>
        <w:sym w:font="Symbol" w:char="F0B7"/>
      </w:r>
      <w:r w:rsidR="00A447EB" w:rsidRPr="00B5210A">
        <w:rPr>
          <w:rFonts w:ascii="Times New Roman" w:hAnsi="Times New Roman" w:cs="Times New Roman"/>
          <w:sz w:val="24"/>
          <w:szCs w:val="24"/>
        </w:rPr>
        <w:t xml:space="preserve"> By simply involving students in a service-learning project that employs the IPARDE process, students in ANY content area are engaged in STEM.</w:t>
      </w:r>
    </w:p>
    <w:p w:rsidR="0083173F" w:rsidRPr="00B5210A" w:rsidRDefault="0083173F" w:rsidP="0083173F">
      <w:pPr>
        <w:pStyle w:val="ListParagraph"/>
        <w:numPr>
          <w:ilvl w:val="0"/>
          <w:numId w:val="1"/>
        </w:numPr>
        <w:rPr>
          <w:rFonts w:ascii="Times New Roman" w:hAnsi="Times New Roman" w:cs="Times New Roman"/>
          <w:sz w:val="24"/>
          <w:szCs w:val="24"/>
        </w:rPr>
      </w:pPr>
      <w:r w:rsidRPr="00B5210A">
        <w:rPr>
          <w:rFonts w:ascii="Times New Roman" w:hAnsi="Times New Roman" w:cs="Times New Roman"/>
          <w:b/>
          <w:sz w:val="32"/>
          <w:szCs w:val="32"/>
          <w:u w:val="single"/>
        </w:rPr>
        <w:t>Universal Design for Learning (UDL</w:t>
      </w:r>
      <w:r w:rsidRPr="00B5210A">
        <w:rPr>
          <w:rFonts w:ascii="Times New Roman" w:hAnsi="Times New Roman" w:cs="Times New Roman"/>
          <w:b/>
          <w:sz w:val="32"/>
          <w:szCs w:val="32"/>
        </w:rPr>
        <w:t>)</w:t>
      </w:r>
      <w:r w:rsidRPr="00C72570">
        <w:rPr>
          <w:rFonts w:ascii="Times New Roman" w:hAnsi="Times New Roman" w:cs="Times New Roman"/>
          <w:sz w:val="32"/>
          <w:szCs w:val="32"/>
        </w:rPr>
        <w:t xml:space="preserve"> – </w:t>
      </w:r>
      <w:r w:rsidRPr="00B5210A">
        <w:rPr>
          <w:rFonts w:ascii="Times New Roman" w:hAnsi="Times New Roman" w:cs="Times New Roman"/>
          <w:sz w:val="24"/>
          <w:szCs w:val="24"/>
        </w:rPr>
        <w:t xml:space="preserve">Representation, Action/Expression; Engagement:  Offering information in more than one format. Hands-on learning through SL projects gives all kids a chance to access academic material in whichever way is best suited to their learning strategies </w:t>
      </w:r>
    </w:p>
    <w:p w:rsidR="0083173F" w:rsidRPr="00B5210A" w:rsidRDefault="0083173F" w:rsidP="0083173F">
      <w:pPr>
        <w:pStyle w:val="ListParagraph"/>
        <w:numPr>
          <w:ilvl w:val="0"/>
          <w:numId w:val="1"/>
        </w:numPr>
        <w:rPr>
          <w:rFonts w:ascii="Times New Roman" w:hAnsi="Times New Roman" w:cs="Times New Roman"/>
          <w:sz w:val="24"/>
          <w:szCs w:val="24"/>
        </w:rPr>
      </w:pPr>
      <w:r w:rsidRPr="00B5210A">
        <w:rPr>
          <w:rFonts w:ascii="Times New Roman" w:hAnsi="Times New Roman" w:cs="Times New Roman"/>
          <w:b/>
          <w:sz w:val="32"/>
          <w:szCs w:val="32"/>
          <w:u w:val="single"/>
        </w:rPr>
        <w:t>Special Education</w:t>
      </w:r>
      <w:r w:rsidRPr="00C72570">
        <w:rPr>
          <w:rFonts w:ascii="Times New Roman" w:hAnsi="Times New Roman" w:cs="Times New Roman"/>
          <w:sz w:val="32"/>
          <w:szCs w:val="32"/>
        </w:rPr>
        <w:t xml:space="preserve"> - </w:t>
      </w:r>
      <w:r w:rsidRPr="00B5210A">
        <w:rPr>
          <w:rFonts w:ascii="Times New Roman" w:hAnsi="Times New Roman" w:cs="Times New Roman"/>
          <w:sz w:val="24"/>
          <w:szCs w:val="24"/>
        </w:rPr>
        <w:t xml:space="preserve">IEP Goals, Transition, and Functional Skills opportunities through service-learning. </w:t>
      </w:r>
    </w:p>
    <w:p w:rsidR="0083173F" w:rsidRPr="00C72570" w:rsidRDefault="0083173F" w:rsidP="0083173F">
      <w:pPr>
        <w:pStyle w:val="ListParagraph"/>
        <w:numPr>
          <w:ilvl w:val="0"/>
          <w:numId w:val="1"/>
        </w:numPr>
        <w:rPr>
          <w:rFonts w:ascii="Times New Roman" w:hAnsi="Times New Roman" w:cs="Times New Roman"/>
          <w:sz w:val="32"/>
          <w:szCs w:val="32"/>
        </w:rPr>
      </w:pPr>
      <w:r w:rsidRPr="00B5210A">
        <w:rPr>
          <w:rFonts w:ascii="Times New Roman" w:hAnsi="Times New Roman" w:cs="Times New Roman"/>
          <w:b/>
          <w:sz w:val="32"/>
          <w:szCs w:val="32"/>
          <w:u w:val="single"/>
        </w:rPr>
        <w:t>New Graduation Pathways for Indiana</w:t>
      </w:r>
      <w:r w:rsidRPr="00C72570">
        <w:rPr>
          <w:rFonts w:ascii="Times New Roman" w:hAnsi="Times New Roman" w:cs="Times New Roman"/>
          <w:sz w:val="32"/>
          <w:szCs w:val="32"/>
        </w:rPr>
        <w:t xml:space="preserve"> include </w:t>
      </w:r>
      <w:r w:rsidRPr="00C72570">
        <w:rPr>
          <w:rFonts w:ascii="Times New Roman" w:hAnsi="Times New Roman" w:cs="Times New Roman"/>
          <w:b/>
          <w:sz w:val="32"/>
          <w:szCs w:val="32"/>
        </w:rPr>
        <w:t>Service Based Learning</w:t>
      </w:r>
      <w:r w:rsidRPr="00C72570">
        <w:rPr>
          <w:rFonts w:ascii="Times New Roman" w:hAnsi="Times New Roman" w:cs="Times New Roman"/>
          <w:sz w:val="32"/>
          <w:szCs w:val="32"/>
        </w:rPr>
        <w:t>, Project Based Learning and Work Based Learning Experiences</w:t>
      </w:r>
      <w:r w:rsidR="00B5210A">
        <w:rPr>
          <w:rFonts w:ascii="Times New Roman" w:hAnsi="Times New Roman" w:cs="Times New Roman"/>
          <w:sz w:val="32"/>
          <w:szCs w:val="32"/>
        </w:rPr>
        <w:t xml:space="preserve">. </w:t>
      </w:r>
      <w:r w:rsidRPr="00C72570">
        <w:rPr>
          <w:rFonts w:ascii="Times New Roman" w:hAnsi="Times New Roman" w:cs="Times New Roman"/>
          <w:sz w:val="32"/>
          <w:szCs w:val="32"/>
        </w:rPr>
        <w:t xml:space="preserve"> </w:t>
      </w:r>
    </w:p>
    <w:p w:rsidR="0083173F" w:rsidRPr="00B5210A" w:rsidRDefault="0083173F" w:rsidP="0083173F">
      <w:pPr>
        <w:pStyle w:val="ListParagraph"/>
        <w:numPr>
          <w:ilvl w:val="0"/>
          <w:numId w:val="1"/>
        </w:numPr>
        <w:rPr>
          <w:rFonts w:ascii="Times New Roman" w:hAnsi="Times New Roman" w:cs="Times New Roman"/>
          <w:sz w:val="24"/>
          <w:szCs w:val="24"/>
        </w:rPr>
      </w:pPr>
      <w:r w:rsidRPr="00B5210A">
        <w:rPr>
          <w:rFonts w:ascii="Times New Roman" w:hAnsi="Times New Roman" w:cs="Times New Roman"/>
          <w:b/>
          <w:sz w:val="32"/>
          <w:szCs w:val="32"/>
          <w:u w:val="single"/>
        </w:rPr>
        <w:t>Developing Leadership Skills through real situations</w:t>
      </w:r>
      <w:r w:rsidRPr="00C72570">
        <w:rPr>
          <w:rFonts w:ascii="Times New Roman" w:hAnsi="Times New Roman" w:cs="Times New Roman"/>
          <w:sz w:val="32"/>
          <w:szCs w:val="32"/>
        </w:rPr>
        <w:t xml:space="preserve">: </w:t>
      </w:r>
      <w:r w:rsidRPr="00B5210A">
        <w:rPr>
          <w:rFonts w:ascii="Times New Roman" w:hAnsi="Times New Roman" w:cs="Times New Roman"/>
          <w:sz w:val="24"/>
          <w:szCs w:val="24"/>
        </w:rPr>
        <w:t>Character; Citizenship; Knowledge; Communication and Collaboration</w:t>
      </w:r>
    </w:p>
    <w:p w:rsidR="0083173F" w:rsidRPr="00B5210A" w:rsidRDefault="0083173F" w:rsidP="0083173F">
      <w:pPr>
        <w:pStyle w:val="ListParagraph"/>
        <w:numPr>
          <w:ilvl w:val="0"/>
          <w:numId w:val="1"/>
        </w:numPr>
        <w:rPr>
          <w:rFonts w:ascii="Times New Roman" w:hAnsi="Times New Roman" w:cs="Times New Roman"/>
          <w:sz w:val="24"/>
          <w:szCs w:val="24"/>
        </w:rPr>
      </w:pPr>
      <w:r w:rsidRPr="00B5210A">
        <w:rPr>
          <w:rFonts w:ascii="Times New Roman" w:hAnsi="Times New Roman" w:cs="Times New Roman"/>
          <w:b/>
          <w:sz w:val="32"/>
          <w:szCs w:val="32"/>
          <w:u w:val="single"/>
        </w:rPr>
        <w:t>Ethics</w:t>
      </w:r>
      <w:r w:rsidRPr="00B5210A">
        <w:rPr>
          <w:rFonts w:ascii="Times New Roman" w:hAnsi="Times New Roman" w:cs="Times New Roman"/>
          <w:b/>
          <w:sz w:val="32"/>
          <w:szCs w:val="32"/>
        </w:rPr>
        <w:t xml:space="preserve"> </w:t>
      </w:r>
      <w:r w:rsidRPr="00A447EB">
        <w:rPr>
          <w:rFonts w:ascii="Times New Roman" w:hAnsi="Times New Roman" w:cs="Times New Roman"/>
          <w:sz w:val="24"/>
          <w:szCs w:val="24"/>
        </w:rPr>
        <w:t xml:space="preserve">– </w:t>
      </w:r>
      <w:r w:rsidRPr="00B5210A">
        <w:rPr>
          <w:rFonts w:ascii="Times New Roman" w:hAnsi="Times New Roman" w:cs="Times New Roman"/>
          <w:sz w:val="24"/>
          <w:szCs w:val="24"/>
        </w:rPr>
        <w:t xml:space="preserve">Identify the RIGHT things to do; Become CIVICALLY involved; Understanding PHILANTHROPY and WHY WE GIVE; Understanding that it is My Job to Make a Difference. </w:t>
      </w:r>
    </w:p>
    <w:p w:rsidR="0083173F" w:rsidRPr="00A447EB" w:rsidRDefault="0083173F" w:rsidP="0083173F">
      <w:pPr>
        <w:pStyle w:val="ListParagraph"/>
        <w:numPr>
          <w:ilvl w:val="0"/>
          <w:numId w:val="1"/>
        </w:numPr>
        <w:rPr>
          <w:rFonts w:ascii="Times New Roman" w:hAnsi="Times New Roman" w:cs="Times New Roman"/>
          <w:sz w:val="24"/>
          <w:szCs w:val="24"/>
        </w:rPr>
      </w:pPr>
      <w:r w:rsidRPr="00B5210A">
        <w:rPr>
          <w:rFonts w:ascii="Times New Roman" w:hAnsi="Times New Roman" w:cs="Times New Roman"/>
          <w:b/>
          <w:sz w:val="32"/>
          <w:szCs w:val="32"/>
          <w:u w:val="single"/>
        </w:rPr>
        <w:t xml:space="preserve">SEL </w:t>
      </w:r>
      <w:r w:rsidRPr="00B5210A">
        <w:rPr>
          <w:rFonts w:ascii="Times New Roman" w:hAnsi="Times New Roman" w:cs="Times New Roman"/>
          <w:b/>
          <w:sz w:val="32"/>
          <w:szCs w:val="32"/>
        </w:rPr>
        <w:t>– Social Emotional Learning</w:t>
      </w:r>
      <w:r>
        <w:rPr>
          <w:rFonts w:ascii="Times New Roman" w:hAnsi="Times New Roman" w:cs="Times New Roman"/>
          <w:sz w:val="32"/>
          <w:szCs w:val="32"/>
        </w:rPr>
        <w:t xml:space="preserve"> - </w:t>
      </w:r>
      <w:r w:rsidRPr="00A447EB">
        <w:rPr>
          <w:rFonts w:ascii="Times New Roman" w:eastAsia="Times New Roman" w:hAnsi="Times New Roman" w:cs="Times New Roman"/>
          <w:color w:val="202020"/>
          <w:sz w:val="24"/>
          <w:szCs w:val="24"/>
        </w:rPr>
        <w:t>“is the process through which children and adults understand and manage emotions, set and achieve positive goals, feel and show empathy for others, establish and maintain positive relationships, and make responsibl</w:t>
      </w:r>
      <w:r w:rsidR="00B5210A">
        <w:rPr>
          <w:rFonts w:ascii="Times New Roman" w:eastAsia="Times New Roman" w:hAnsi="Times New Roman" w:cs="Times New Roman"/>
          <w:color w:val="202020"/>
          <w:sz w:val="24"/>
          <w:szCs w:val="24"/>
        </w:rPr>
        <w:t xml:space="preserve">e decisions”.  LTG </w:t>
      </w:r>
      <w:r w:rsidRPr="00A447EB">
        <w:rPr>
          <w:rFonts w:ascii="Times New Roman" w:eastAsia="Times New Roman" w:hAnsi="Times New Roman" w:cs="Times New Roman"/>
          <w:color w:val="202020"/>
          <w:sz w:val="24"/>
          <w:szCs w:val="24"/>
        </w:rPr>
        <w:t xml:space="preserve">resources develop SEL through the purposeful intersection of cognitive, emotional, and social skills and practice. Philanthropy education and community building give purpose for learning and engage values, ownership, and civic engagement across environments (school, community, </w:t>
      </w:r>
      <w:r w:rsidRPr="00A447EB">
        <w:rPr>
          <w:rFonts w:ascii="Times New Roman" w:eastAsia="Times New Roman" w:hAnsi="Times New Roman" w:cs="Times New Roman"/>
          <w:color w:val="202020"/>
          <w:sz w:val="24"/>
          <w:szCs w:val="24"/>
        </w:rPr>
        <w:t xml:space="preserve">and </w:t>
      </w:r>
      <w:r w:rsidRPr="00A447EB">
        <w:rPr>
          <w:rFonts w:ascii="Times New Roman" w:eastAsia="Times New Roman" w:hAnsi="Times New Roman" w:cs="Times New Roman"/>
          <w:color w:val="202020"/>
          <w:sz w:val="24"/>
          <w:szCs w:val="24"/>
        </w:rPr>
        <w:t>home).</w:t>
      </w:r>
    </w:p>
    <w:p w:rsidR="00C84E89" w:rsidRPr="00B5210A" w:rsidRDefault="00A447EB" w:rsidP="00B5210A">
      <w:pPr>
        <w:pStyle w:val="ListParagraph"/>
        <w:numPr>
          <w:ilvl w:val="0"/>
          <w:numId w:val="1"/>
        </w:numPr>
        <w:rPr>
          <w:rFonts w:ascii="Times New Roman" w:hAnsi="Times New Roman" w:cs="Times New Roman"/>
          <w:sz w:val="32"/>
          <w:szCs w:val="32"/>
        </w:rPr>
      </w:pPr>
      <w:r w:rsidRPr="00B5210A">
        <w:rPr>
          <w:rFonts w:ascii="Times New Roman" w:hAnsi="Times New Roman" w:cs="Times New Roman"/>
          <w:b/>
          <w:sz w:val="32"/>
          <w:szCs w:val="32"/>
          <w:u w:val="single"/>
        </w:rPr>
        <w:t>Vir</w:t>
      </w:r>
      <w:r w:rsidR="0083173F" w:rsidRPr="00B5210A">
        <w:rPr>
          <w:rFonts w:ascii="Times New Roman" w:hAnsi="Times New Roman" w:cs="Times New Roman"/>
          <w:b/>
          <w:sz w:val="32"/>
          <w:szCs w:val="32"/>
          <w:u w:val="single"/>
        </w:rPr>
        <w:t>tual/Blended Learning</w:t>
      </w:r>
      <w:r w:rsidR="0083173F">
        <w:rPr>
          <w:rFonts w:ascii="Times New Roman" w:hAnsi="Times New Roman" w:cs="Times New Roman"/>
          <w:sz w:val="32"/>
          <w:szCs w:val="32"/>
          <w:u w:val="single"/>
        </w:rPr>
        <w:t xml:space="preserve"> -</w:t>
      </w:r>
      <w:r w:rsidR="0083173F">
        <w:rPr>
          <w:rFonts w:ascii="Times New Roman" w:eastAsia="Times New Roman" w:hAnsi="Times New Roman" w:cs="Times New Roman"/>
          <w:color w:val="202020"/>
          <w:sz w:val="28"/>
          <w:szCs w:val="28"/>
        </w:rPr>
        <w:t xml:space="preserve"> </w:t>
      </w:r>
      <w:r w:rsidR="0083173F" w:rsidRPr="0083173F">
        <w:rPr>
          <w:rFonts w:ascii="Times New Roman" w:hAnsi="Times New Roman" w:cs="Times New Roman"/>
          <w:sz w:val="24"/>
          <w:szCs w:val="24"/>
        </w:rPr>
        <w:t>Service-learning can be delivered through a virtual/blended format. It is an effective virtual/blended learning strategy because it involves instruction, inquiry, problem-solving, self-reflection, collaboration, communication, and demonstration both virtually and in</w:t>
      </w:r>
      <w:r>
        <w:rPr>
          <w:rFonts w:ascii="Times New Roman" w:hAnsi="Times New Roman" w:cs="Times New Roman"/>
          <w:sz w:val="24"/>
          <w:szCs w:val="24"/>
        </w:rPr>
        <w:t xml:space="preserve"> </w:t>
      </w:r>
      <w:r w:rsidR="0083173F" w:rsidRPr="0083173F">
        <w:rPr>
          <w:rFonts w:ascii="Times New Roman" w:hAnsi="Times New Roman" w:cs="Times New Roman"/>
          <w:sz w:val="24"/>
          <w:szCs w:val="24"/>
        </w:rPr>
        <w:t>person</w:t>
      </w:r>
      <w:r w:rsidRPr="00A447EB">
        <w:rPr>
          <w:rFonts w:ascii="Times New Roman" w:hAnsi="Times New Roman" w:cs="Times New Roman"/>
          <w:sz w:val="24"/>
          <w:szCs w:val="24"/>
        </w:rPr>
        <w:t xml:space="preserve">. </w:t>
      </w:r>
      <w:r w:rsidRPr="00A447EB">
        <w:rPr>
          <w:rFonts w:ascii="Times New Roman" w:hAnsi="Times New Roman" w:cs="Times New Roman"/>
          <w:sz w:val="24"/>
          <w:szCs w:val="24"/>
        </w:rPr>
        <w:t>Educators can engage students in meaningful lessons that involve critical thinking and problem-solving while delivering and reinforcing content.</w:t>
      </w:r>
      <w:r w:rsidR="0083173F" w:rsidRPr="00A447EB">
        <w:rPr>
          <w:rFonts w:ascii="Times New Roman" w:hAnsi="Times New Roman" w:cs="Times New Roman"/>
          <w:sz w:val="32"/>
          <w:szCs w:val="32"/>
        </w:rPr>
        <w:br/>
      </w:r>
      <w:bookmarkStart w:id="0" w:name="_GoBack"/>
      <w:bookmarkEnd w:id="0"/>
    </w:p>
    <w:sectPr w:rsidR="00C84E89" w:rsidRPr="00B5210A" w:rsidSect="00B5210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3674F"/>
    <w:multiLevelType w:val="hybridMultilevel"/>
    <w:tmpl w:val="A7FE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3F"/>
    <w:rsid w:val="0083173F"/>
    <w:rsid w:val="00A447EB"/>
    <w:rsid w:val="00B5210A"/>
    <w:rsid w:val="00C8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32D32-C989-4815-AD79-9EB5AE5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3F"/>
    <w:pPr>
      <w:ind w:left="720"/>
      <w:contextualSpacing/>
    </w:pPr>
  </w:style>
  <w:style w:type="character" w:styleId="Hyperlink">
    <w:name w:val="Hyperlink"/>
    <w:basedOn w:val="DefaultParagraphFont"/>
    <w:uiPriority w:val="99"/>
    <w:unhideWhenUsed/>
    <w:rsid w:val="00A44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ingtogive.org/sites/default/files/LTG2School%20Year%20Calendar%20of%20Service_2017-18%20%282%29.pdf" TargetMode="External"/><Relationship Id="rId5" Type="http://schemas.openxmlformats.org/officeDocument/2006/relationships/hyperlink" Target="https://www.learningtogive.org/resources/lessons-un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Wright</dc:creator>
  <cp:keywords/>
  <dc:description/>
  <cp:lastModifiedBy>Shirley Wright</cp:lastModifiedBy>
  <cp:revision>1</cp:revision>
  <dcterms:created xsi:type="dcterms:W3CDTF">2020-12-07T20:55:00Z</dcterms:created>
  <dcterms:modified xsi:type="dcterms:W3CDTF">2020-12-07T21:32:00Z</dcterms:modified>
</cp:coreProperties>
</file>